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0" w:rsidRDefault="00CC7530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466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4390"/>
        <w:gridCol w:w="1559"/>
        <w:gridCol w:w="4044"/>
        <w:gridCol w:w="616"/>
        <w:gridCol w:w="4013"/>
      </w:tblGrid>
      <w:tr w:rsidR="00CC7530">
        <w:trPr>
          <w:gridBefore w:val="1"/>
          <w:gridAfter w:val="1"/>
          <w:wBefore w:w="38" w:type="dxa"/>
          <w:wAfter w:w="4013" w:type="dxa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7530" w:rsidRDefault="00CC7530" w:rsidP="00DE6A7D">
            <w:pPr>
              <w:rPr>
                <w:rFonts w:ascii="ER Bukinist Bashkir" w:hAnsi="ER Bukinist Bashkir"/>
                <w:b/>
                <w:sz w:val="18"/>
              </w:rPr>
            </w:pPr>
          </w:p>
          <w:p w:rsidR="00CC7530" w:rsidRPr="004D165D" w:rsidRDefault="00CC7530" w:rsidP="004C6433">
            <w:pPr>
              <w:ind w:left="-25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CC7530" w:rsidRPr="004D165D" w:rsidRDefault="00CC7530" w:rsidP="004C643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CC7530" w:rsidRPr="004D165D" w:rsidRDefault="00CC7530" w:rsidP="004C643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CC7530" w:rsidRPr="004365EE" w:rsidRDefault="00CC7530" w:rsidP="004C6433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 w:rsidRPr="004365EE">
              <w:rPr>
                <w:rFonts w:ascii="ER Bukinist Bashkir" w:hAnsi="ER Bukinist Bashkir"/>
                <w:b/>
                <w:bCs/>
                <w:sz w:val="18"/>
                <w:szCs w:val="18"/>
                <w:lang w:val="be-BY"/>
              </w:rPr>
              <w:t>Түбәнге Зәйет</w:t>
            </w:r>
            <w:r w:rsidRPr="004365EE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  ауыл Советы ауыл </w:t>
            </w:r>
            <w:r w:rsidRPr="004365EE">
              <w:rPr>
                <w:rFonts w:ascii="ER Bukinist Bashkir" w:hAnsi="ER Bukinist Bashkir"/>
                <w:b/>
                <w:bCs/>
                <w:iCs/>
                <w:sz w:val="18"/>
                <w:szCs w:val="18"/>
              </w:rPr>
              <w:t>биләмәһе</w:t>
            </w:r>
            <w:r w:rsidRPr="004365EE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 Хакимиәте</w:t>
            </w:r>
          </w:p>
          <w:p w:rsidR="00CC7530" w:rsidRPr="004D165D" w:rsidRDefault="00CC7530" w:rsidP="004C643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CC7530" w:rsidRPr="004D165D" w:rsidRDefault="00CC7530" w:rsidP="004C643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ауы 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Советы</w:t>
            </w:r>
          </w:p>
          <w:p w:rsidR="00CC7530" w:rsidRPr="00F3450A" w:rsidRDefault="00CC7530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урамы,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Түбәнге Зәйет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 ау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</w:rPr>
              <w:t xml:space="preserve">лы </w:t>
            </w:r>
            <w:r w:rsidRPr="00F3450A"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F3450A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F3450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F3450A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CC7530" w:rsidRPr="00F3450A" w:rsidRDefault="00CC7530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CC7530" w:rsidRPr="00F3450A" w:rsidRDefault="00CC7530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nzaitss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CC7530" w:rsidRDefault="00CC7530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D63D79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</w:t>
            </w:r>
            <w:r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nzait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7530" w:rsidRDefault="00CC7530" w:rsidP="00AF17FE">
            <w:pPr>
              <w:jc w:val="center"/>
              <w:rPr>
                <w:rFonts w:ascii="ER Bukinist Bashkir" w:hAnsi="ER Bukinist Bashkir"/>
                <w:sz w:val="18"/>
              </w:rPr>
            </w:pPr>
            <w:r w:rsidRPr="00B049D7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5" o:title=""/>
                </v:shape>
              </w:pic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7530" w:rsidRDefault="00CC7530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C7530" w:rsidRDefault="00CC7530" w:rsidP="004C64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C7530" w:rsidRDefault="00CC7530" w:rsidP="004C643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CC7530" w:rsidRDefault="00CC7530" w:rsidP="004C64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C7530" w:rsidRDefault="00CC7530" w:rsidP="004C64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C7530" w:rsidRDefault="00CC7530" w:rsidP="004C643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CC7530" w:rsidRPr="00F45BBE" w:rsidRDefault="00CC7530" w:rsidP="004C643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Нижнезаитовский сельсовет Шаранского района Республики Башкортостан</w:t>
            </w:r>
          </w:p>
          <w:p w:rsidR="00CC7530" w:rsidRDefault="00CC7530" w:rsidP="004C643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ул. Советская,д.2а, с.Нижнезаитово Шаранского района, Республики Башкортостан</w:t>
            </w:r>
          </w:p>
          <w:p w:rsidR="00CC7530" w:rsidRPr="00F3450A" w:rsidRDefault="00CC7530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CC7530" w:rsidRPr="00F3450A" w:rsidRDefault="00CC7530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 nzaitss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CC7530" w:rsidRDefault="00CC7530" w:rsidP="004C6433">
            <w:pPr>
              <w:ind w:right="-542"/>
              <w:jc w:val="center"/>
              <w:rPr>
                <w:rFonts w:ascii="ER Bukinist Bashkir" w:hAnsi="ER Bukinist Bashkir"/>
                <w:sz w:val="18"/>
              </w:rPr>
            </w:pPr>
            <w:hyperlink r:id="rId6" w:history="1"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http</w:t>
              </w:r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</w:rPr>
                <w:t>://www.</w:t>
              </w:r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nzait</w:t>
              </w:r>
              <w:r w:rsidRPr="003F60D8">
                <w:rPr>
                  <w:rStyle w:val="Hyperlink"/>
                  <w:rFonts w:ascii="ER Bukinist Bashkir" w:hAnsi="ER Bukinist Bashkir"/>
                  <w:bCs/>
                  <w:sz w:val="16"/>
                  <w:szCs w:val="16"/>
                </w:rPr>
                <w:t>.sharan-sovet.ru</w:t>
              </w:r>
            </w:hyperlink>
          </w:p>
        </w:tc>
      </w:tr>
      <w:tr w:rsidR="00CC7530" w:rsidRPr="0020612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031" w:type="dxa"/>
            <w:gridSpan w:val="4"/>
          </w:tcPr>
          <w:p w:rsidR="00CC7530" w:rsidRPr="00735AE9" w:rsidRDefault="00CC7530" w:rsidP="004C6433">
            <w:pPr>
              <w:rPr>
                <w:rFonts w:ascii="ER Bukinist Bashkir" w:hAnsi="ER Bukinist Bashkir" w:cs="ER Bukinist Bashkir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ER Bukinist Bashkir" w:hAnsi="ER Bukinist Bashkir" w:cs="ER Bukinist Bashkir"/>
                <w:sz w:val="28"/>
                <w:szCs w:val="28"/>
              </w:rPr>
              <w:t xml:space="preserve">  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  <w:lang w:val="be-BY"/>
              </w:rPr>
              <w:t>Ҡ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 xml:space="preserve"> А Р А Р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  <w:t xml:space="preserve">            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ab/>
            </w:r>
            <w:r>
              <w:rPr>
                <w:rFonts w:ascii="ER Bukinist Bashkir" w:hAnsi="ER Bukinist Bashkir"/>
                <w:b/>
                <w:bCs/>
                <w:sz w:val="28"/>
                <w:szCs w:val="28"/>
                <w:lang w:val="be-BY"/>
              </w:rPr>
              <w:t xml:space="preserve">           </w:t>
            </w:r>
            <w:r w:rsidRPr="00735AE9">
              <w:rPr>
                <w:rFonts w:ascii="ER Bukinist Bashkir" w:hAnsi="ER Bukinist Bashkir"/>
                <w:b/>
                <w:bCs/>
                <w:sz w:val="28"/>
                <w:szCs w:val="28"/>
              </w:rPr>
              <w:t>ПОСТАНОВЛЕНИЕ</w:t>
            </w:r>
          </w:p>
          <w:p w:rsidR="00CC7530" w:rsidRPr="00735AE9" w:rsidRDefault="00CC7530" w:rsidP="004C6433">
            <w:pPr>
              <w:widowControl w:val="0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CC7530" w:rsidRPr="00735AE9" w:rsidRDefault="00CC7530" w:rsidP="004C6433">
            <w:pPr>
              <w:widowControl w:val="0"/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</w:pPr>
            <w:r w:rsidRPr="00735AE9">
              <w:rPr>
                <w:rFonts w:ascii="ER Bukinist Bashkir" w:hAnsi="ER Bukinist Bashkir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735AE9"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 xml:space="preserve"> 01 декабрь 2016 й.</w:t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ab/>
              <w:t xml:space="preserve">            </w:t>
            </w:r>
            <w:r w:rsidRPr="00735AE9"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>№</w:t>
            </w:r>
            <w:r w:rsidRPr="00735AE9"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>82</w:t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Arial"/>
                <w:b/>
                <w:bCs/>
                <w:vanish/>
                <w:color w:val="0000FF"/>
                <w:sz w:val="28"/>
                <w:szCs w:val="28"/>
              </w:rPr>
              <w:pgNum/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ab/>
              <w:t xml:space="preserve">   </w:t>
            </w:r>
            <w:r w:rsidRPr="00735AE9">
              <w:rPr>
                <w:rFonts w:ascii="ER Bukinist Bashkir" w:hAnsi="ER Bukinist Bashkir"/>
                <w:b/>
                <w:bCs/>
                <w:color w:val="000000"/>
                <w:sz w:val="28"/>
                <w:szCs w:val="28"/>
              </w:rPr>
              <w:t xml:space="preserve"> 01 декабря 2016 г.</w:t>
            </w:r>
          </w:p>
          <w:p w:rsidR="00CC7530" w:rsidRDefault="00CC7530" w:rsidP="007D59C9">
            <w:pPr>
              <w:pStyle w:val="14"/>
              <w:ind w:firstLine="0"/>
              <w:jc w:val="center"/>
              <w:rPr>
                <w:b/>
                <w:color w:val="000000"/>
              </w:rPr>
            </w:pPr>
          </w:p>
          <w:p w:rsidR="00CC7530" w:rsidRDefault="00CC7530" w:rsidP="00E312A7">
            <w:pPr>
              <w:pStyle w:val="14"/>
              <w:ind w:firstLine="0"/>
              <w:rPr>
                <w:b/>
                <w:color w:val="000000"/>
              </w:rPr>
            </w:pPr>
          </w:p>
          <w:p w:rsidR="00CC7530" w:rsidRDefault="00CC7530" w:rsidP="007D59C9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color w:val="000000"/>
              </w:rPr>
              <w:t xml:space="preserve">Об утверждении Программы о составе и порядке подготовки документов территориального планирования сельского поселения </w:t>
            </w:r>
            <w:r>
              <w:rPr>
                <w:b/>
                <w:color w:val="000000"/>
              </w:rPr>
              <w:t>Нижнезаитовский</w:t>
            </w:r>
            <w:r w:rsidRPr="00E90134">
              <w:rPr>
                <w:b/>
                <w:color w:val="000000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      </w:r>
          </w:p>
        </w:tc>
        <w:tc>
          <w:tcPr>
            <w:tcW w:w="4629" w:type="dxa"/>
            <w:gridSpan w:val="2"/>
          </w:tcPr>
          <w:p w:rsidR="00CC7530" w:rsidRDefault="00CC7530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CC7530" w:rsidRDefault="00CC7530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CC7530" w:rsidRDefault="00CC7530" w:rsidP="007D59C9">
      <w:pPr>
        <w:pStyle w:val="14"/>
        <w:rPr>
          <w:b/>
          <w:color w:val="000000"/>
        </w:rPr>
      </w:pPr>
      <w:r>
        <w:rPr>
          <w:color w:val="000000"/>
        </w:rPr>
        <w:t xml:space="preserve">В соответствии с Градостроительным кодексом Российской Федерации от 29.12.2004 года № 190-ФЗ, </w:t>
      </w:r>
      <w:r w:rsidRPr="00B200A6">
        <w:t xml:space="preserve">Федеральным </w:t>
      </w:r>
      <w:hyperlink r:id="rId7" w:history="1">
        <w:r w:rsidRPr="00B200A6">
          <w:t>законом</w:t>
        </w:r>
      </w:hyperlink>
      <w:r w:rsidRPr="00B200A6"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</w:t>
      </w:r>
      <w:r>
        <w:t xml:space="preserve">, </w:t>
      </w:r>
      <w:r w:rsidRPr="007A3C35">
        <w:t xml:space="preserve">руководствуясь Уставом сельского поселения </w:t>
      </w:r>
      <w:r>
        <w:t xml:space="preserve">Нижнезаитовский </w:t>
      </w:r>
      <w:r w:rsidRPr="007A3C35">
        <w:t>сельсовет муниципального района Шаранский  район Республики Башкорт</w:t>
      </w:r>
      <w:r>
        <w:t xml:space="preserve">остан, </w:t>
      </w:r>
      <w:r w:rsidRPr="00DF4972">
        <w:t>ПОСТАНОВЛЯЮ:</w:t>
      </w:r>
    </w:p>
    <w:p w:rsidR="00CC7530" w:rsidRDefault="00CC7530" w:rsidP="007D59C9">
      <w:pPr>
        <w:pStyle w:val="14"/>
        <w:jc w:val="center"/>
        <w:rPr>
          <w:b/>
          <w:color w:val="000000"/>
        </w:rPr>
      </w:pPr>
    </w:p>
    <w:p w:rsidR="00CC7530" w:rsidRPr="00B200A6" w:rsidRDefault="00CC7530" w:rsidP="007D59C9">
      <w:pPr>
        <w:pStyle w:val="14"/>
        <w:numPr>
          <w:ilvl w:val="0"/>
          <w:numId w:val="1"/>
        </w:numPr>
        <w:ind w:left="0" w:firstLine="720"/>
        <w:rPr>
          <w:color w:val="000000"/>
        </w:rPr>
      </w:pPr>
      <w:r w:rsidRPr="000E0A8F">
        <w:rPr>
          <w:color w:val="000000"/>
        </w:rPr>
        <w:t xml:space="preserve">Утвердить </w:t>
      </w:r>
      <w:r w:rsidRPr="00B200A6">
        <w:rPr>
          <w:color w:val="000000"/>
        </w:rPr>
        <w:t xml:space="preserve">«Программу о составе и порядке подготовки документов территориального планирования сельского поселения </w:t>
      </w:r>
      <w:r>
        <w:rPr>
          <w:color w:val="000000"/>
        </w:rPr>
        <w:t xml:space="preserve">Нижнезаитовский </w:t>
      </w:r>
      <w:r w:rsidRPr="00B200A6">
        <w:rPr>
          <w:color w:val="000000"/>
        </w:rPr>
        <w:t xml:space="preserve"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года». </w:t>
      </w:r>
    </w:p>
    <w:p w:rsidR="00CC7530" w:rsidRPr="007B1D86" w:rsidRDefault="00CC7530" w:rsidP="00E17CF7">
      <w:pPr>
        <w:pStyle w:val="BodyText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7B1D86">
        <w:rPr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>
        <w:rPr>
          <w:sz w:val="28"/>
          <w:szCs w:val="28"/>
        </w:rPr>
        <w:t>Нижнезаитовский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>
        <w:rPr>
          <w:sz w:val="28"/>
          <w:szCs w:val="28"/>
        </w:rPr>
        <w:t>Нижнезаитовский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CC7530" w:rsidRDefault="00CC7530" w:rsidP="00E17CF7">
      <w:pPr>
        <w:pStyle w:val="BodyText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CC7530" w:rsidRDefault="00CC7530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CC7530" w:rsidRPr="00DB4542" w:rsidRDefault="00CC7530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 w:rsidRPr="00DB4542">
        <w:rPr>
          <w:sz w:val="28"/>
          <w:szCs w:val="28"/>
        </w:rPr>
        <w:t>Глава сельского поселения                                                                И.Х.Шакиров</w:t>
      </w:r>
    </w:p>
    <w:p w:rsidR="00CC7530" w:rsidRPr="00DB4542" w:rsidRDefault="00CC7530" w:rsidP="00DB4542">
      <w:pPr>
        <w:ind w:left="4956"/>
        <w:jc w:val="right"/>
        <w:rPr>
          <w:bCs/>
        </w:rPr>
      </w:pPr>
      <w:r w:rsidRPr="00DB4542">
        <w:rPr>
          <w:bCs/>
        </w:rPr>
        <w:t xml:space="preserve">Приложение </w:t>
      </w:r>
    </w:p>
    <w:p w:rsidR="00CC7530" w:rsidRDefault="00CC7530" w:rsidP="00DB4542">
      <w:pPr>
        <w:ind w:left="4956"/>
        <w:jc w:val="right"/>
        <w:rPr>
          <w:bCs/>
        </w:rPr>
      </w:pPr>
      <w:r w:rsidRPr="00DB4542">
        <w:rPr>
          <w:bCs/>
        </w:rPr>
        <w:t xml:space="preserve">к постановлению администрации сельского поселения Нижнезаитовский сельсовет                                                              </w:t>
      </w:r>
      <w:r>
        <w:rPr>
          <w:bCs/>
        </w:rPr>
        <w:t xml:space="preserve">     </w:t>
      </w:r>
      <w:r w:rsidRPr="00DB4542">
        <w:rPr>
          <w:bCs/>
        </w:rPr>
        <w:t>муниципального района</w:t>
      </w:r>
      <w:r>
        <w:rPr>
          <w:bCs/>
        </w:rPr>
        <w:t xml:space="preserve"> Шаранский район</w:t>
      </w:r>
      <w:r w:rsidRPr="00DB4542">
        <w:rPr>
          <w:bCs/>
        </w:rPr>
        <w:t xml:space="preserve">                              </w:t>
      </w:r>
      <w:r>
        <w:rPr>
          <w:bCs/>
        </w:rPr>
        <w:t xml:space="preserve">              </w:t>
      </w:r>
      <w:r w:rsidRPr="00DB4542">
        <w:rPr>
          <w:bCs/>
        </w:rPr>
        <w:t xml:space="preserve">                                                              </w:t>
      </w:r>
      <w:r>
        <w:rPr>
          <w:bCs/>
        </w:rPr>
        <w:t xml:space="preserve">       </w:t>
      </w:r>
      <w:r w:rsidRPr="00DB4542">
        <w:rPr>
          <w:bCs/>
        </w:rPr>
        <w:t xml:space="preserve">Республики Башкортостан </w:t>
      </w:r>
    </w:p>
    <w:p w:rsidR="00CC7530" w:rsidRPr="00DB4542" w:rsidRDefault="00CC7530" w:rsidP="00DB4542">
      <w:pPr>
        <w:ind w:left="4956"/>
        <w:jc w:val="right"/>
        <w:rPr>
          <w:bCs/>
        </w:rPr>
      </w:pPr>
      <w:r w:rsidRPr="00DB4542">
        <w:rPr>
          <w:bCs/>
        </w:rPr>
        <w:t xml:space="preserve">№82 от  01 декабря 2016 года </w:t>
      </w:r>
    </w:p>
    <w:p w:rsidR="00CC7530" w:rsidRPr="00E90134" w:rsidRDefault="00CC7530" w:rsidP="00671B7E">
      <w:pPr>
        <w:pStyle w:val="ConsPlusNormal"/>
        <w:jc w:val="center"/>
      </w:pPr>
    </w:p>
    <w:p w:rsidR="00CC7530" w:rsidRPr="00B200A6" w:rsidRDefault="00CC7530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C7530" w:rsidRPr="00B200A6" w:rsidRDefault="00CC7530" w:rsidP="00671B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</w:r>
    </w:p>
    <w:p w:rsidR="00CC7530" w:rsidRPr="00B200A6" w:rsidRDefault="00CC7530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7530" w:rsidRPr="00B200A6" w:rsidRDefault="00CC7530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B200A6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Настоящее Программа о составе и порядке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(далее - Программа) разработана в соответствии с Градостроительным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Башкортостан".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(далее - документы территориального планирования) являются: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являются: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1) реализация полномочий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области градостроительной деятельности,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2) устойчивое социально-экономическое развитие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Подготовка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341-з от 11.07.2006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>, федеральными, республиканскими, иными нормативными правовыми актами муниципального района Шаранский  район Республики Башкортостан и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с учетом положений схемы территориального планирования муниципального района Шаранский район и  схемы территориального планирования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обеспечивает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совместно с Администрацией муниципального района Шаранский район.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CC7530" w:rsidRPr="00B200A6" w:rsidRDefault="00CC7530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2.1.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2.1.2. Утверждаемая часть генерального плана включает в себя: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2.1.3. Основной чертеж генерального плана выполняется в масштабе 1:10000 - 1:5000. На населенные пункты, входящие в состав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2.1.4. Основной чертеж содержит карты-схемы, на которых отображаются: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программа других объектов и зон функционального назначения.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2.1.5. Обязательные положения пояснительной записки генерального плана должны содержать: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CC7530" w:rsidRPr="00D706B0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CC7530" w:rsidRPr="00D706B0" w:rsidRDefault="00CC7530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2.1.6.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2" w:history="1">
        <w:r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CC7530" w:rsidRDefault="00CC7530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530" w:rsidRPr="00D706B0" w:rsidRDefault="00CC7530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CC7530" w:rsidRPr="00D706B0" w:rsidRDefault="00CC7530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CC7530" w:rsidRPr="00B200A6" w:rsidRDefault="00CC7530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CC7530" w:rsidRPr="00B200A6" w:rsidRDefault="00CC7530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>3. ПОРЯДОК ПОДГОТОВКИ ДОКУМЕНТОВ ТЕРРИТОРИАЛЬНОГО</w:t>
      </w:r>
    </w:p>
    <w:p w:rsidR="00CC7530" w:rsidRDefault="00CC7530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CC7530" w:rsidRPr="00B200A6" w:rsidRDefault="00CC7530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должно содержать следующие основные сведения: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 должен: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финансирования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путем проведения конкурса в установленном действующим законодательством порядке;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ИнГео;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контроль за разработкой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на каждом этапе и приемку документов от исполнителя.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Заказчик должен предоставить Исполнителю следующие исходные данные: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современном использовании территории и ее экономической оценке;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историко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архитектурные планы, проекты охраны памятников истории и культуры;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3.6. Давность показателей и данных, характеризующих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части проекта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897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их согласование в установленном законом порядке и утверждение обеспечивает администрация поселения, применительно к территории которого разработаны указанные документы.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CC7530" w:rsidRPr="00B200A6" w:rsidRDefault="00CC7530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ВНЕСЕНИЯ</w:t>
      </w:r>
    </w:p>
    <w:p w:rsidR="00CC7530" w:rsidRPr="00B200A6" w:rsidRDefault="00CC7530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CC7530" w:rsidRPr="00E8283E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E82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CC7530" w:rsidRPr="00B200A6" w:rsidRDefault="00CC7530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генеральный план 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CC7530" w:rsidRPr="00B200A6" w:rsidRDefault="00CC7530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</w:t>
      </w:r>
      <w:r>
        <w:rPr>
          <w:sz w:val="28"/>
          <w:szCs w:val="28"/>
        </w:rPr>
        <w:t xml:space="preserve"> </w:t>
      </w:r>
      <w:r w:rsidRPr="00B200A6">
        <w:rPr>
          <w:sz w:val="28"/>
          <w:szCs w:val="28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>
        <w:rPr>
          <w:sz w:val="28"/>
          <w:szCs w:val="28"/>
        </w:rPr>
        <w:t>Нижнезаитовский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CC7530" w:rsidRPr="00B200A6" w:rsidRDefault="00CC7530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плана реализации документа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Шаранский 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планов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  и правил землепользования и застройки сельского поселения подготавливаются на основании и с учетом: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может выполняться разработчиками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или иными лицами.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5.4. Планы реализации документов территориального планирования утверждаются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после их обсуждения на публичных слушаниях и согласования с представительным органом муниципального района Шаранский 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5.5. Планы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5.6. В планы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5.7. На основании и с учетом планов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CC7530" w:rsidRPr="00E8283E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5.8.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9" w:history="1">
        <w:r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соответствующим муниципальным нормативным правовым актам.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5.9. Порядок</w:t>
      </w:r>
      <w:r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 иными муниципальными нормативными правовыми актами.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мероприятий, предусмотренных планом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CC7530" w:rsidRPr="00B200A6" w:rsidRDefault="00CC7530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134"/>
        <w:gridCol w:w="1134"/>
        <w:gridCol w:w="1143"/>
        <w:gridCol w:w="13"/>
        <w:gridCol w:w="1112"/>
        <w:gridCol w:w="1101"/>
      </w:tblGrid>
      <w:tr w:rsidR="00CC7530" w:rsidRPr="00B200A6">
        <w:tc>
          <w:tcPr>
            <w:tcW w:w="709" w:type="dxa"/>
          </w:tcPr>
          <w:p w:rsidR="00CC7530" w:rsidRPr="00B200A6" w:rsidRDefault="00CC7530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</w:rPr>
              <w:t>/</w:t>
            </w:r>
            <w:r w:rsidRPr="00B200A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CC7530" w:rsidRPr="00B200A6" w:rsidRDefault="00CC7530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134" w:type="dxa"/>
          </w:tcPr>
          <w:p w:rsidR="00CC7530" w:rsidRPr="00B200A6" w:rsidRDefault="00CC7530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CC7530" w:rsidRPr="00B200A6" w:rsidRDefault="00CC753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56" w:type="dxa"/>
            <w:gridSpan w:val="2"/>
          </w:tcPr>
          <w:p w:rsidR="00CC7530" w:rsidRPr="00B200A6" w:rsidRDefault="00CC753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12" w:type="dxa"/>
          </w:tcPr>
          <w:p w:rsidR="00CC7530" w:rsidRPr="00B200A6" w:rsidRDefault="00CC753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</w:tcPr>
          <w:p w:rsidR="00CC7530" w:rsidRPr="00B200A6" w:rsidRDefault="00CC7530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CC7530" w:rsidRPr="00B200A6">
        <w:tc>
          <w:tcPr>
            <w:tcW w:w="709" w:type="dxa"/>
          </w:tcPr>
          <w:p w:rsidR="00CC7530" w:rsidRPr="00B200A6" w:rsidRDefault="00CC7530" w:rsidP="00104E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CC7530" w:rsidRPr="00C828DD" w:rsidRDefault="00CC7530" w:rsidP="00BE5093">
            <w:pPr>
              <w:jc w:val="center"/>
              <w:rPr>
                <w:bCs/>
                <w:sz w:val="28"/>
                <w:szCs w:val="28"/>
              </w:rPr>
            </w:pPr>
            <w:r w:rsidRPr="00C828DD">
              <w:rPr>
                <w:bCs/>
                <w:sz w:val="28"/>
                <w:szCs w:val="28"/>
              </w:rPr>
              <w:t>Основн</w:t>
            </w:r>
            <w:r>
              <w:rPr>
                <w:bCs/>
                <w:sz w:val="28"/>
                <w:szCs w:val="28"/>
              </w:rPr>
              <w:t>ое мероприятие: Разработка проектов планировки и межевание территорий</w:t>
            </w:r>
          </w:p>
        </w:tc>
      </w:tr>
      <w:tr w:rsidR="00CC7530" w:rsidRPr="00B200A6">
        <w:tc>
          <w:tcPr>
            <w:tcW w:w="709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C7530" w:rsidRPr="00A737BB" w:rsidRDefault="00CC7530" w:rsidP="00E8283E">
            <w:pPr>
              <w:jc w:val="both"/>
              <w:rPr>
                <w:sz w:val="28"/>
                <w:szCs w:val="28"/>
              </w:rPr>
            </w:pPr>
            <w:r w:rsidRPr="00A737BB">
              <w:rPr>
                <w:sz w:val="28"/>
                <w:szCs w:val="28"/>
              </w:rPr>
              <w:t>Подготовка документов территориального планирования сельского поселения Нижне</w:t>
            </w:r>
            <w:r>
              <w:rPr>
                <w:sz w:val="28"/>
                <w:szCs w:val="28"/>
              </w:rPr>
              <w:t>заитовский</w:t>
            </w:r>
            <w:r w:rsidRPr="00A737B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</w:t>
            </w:r>
            <w:r>
              <w:rPr>
                <w:sz w:val="28"/>
                <w:szCs w:val="28"/>
              </w:rPr>
              <w:t>со сроком реализации до 2020 года</w:t>
            </w:r>
          </w:p>
        </w:tc>
        <w:tc>
          <w:tcPr>
            <w:tcW w:w="1134" w:type="dxa"/>
          </w:tcPr>
          <w:p w:rsidR="00CC7530" w:rsidRDefault="00CC7530" w:rsidP="00A7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с.Ниж-</w:t>
            </w:r>
          </w:p>
          <w:p w:rsidR="00CC7530" w:rsidRPr="00B200A6" w:rsidRDefault="00CC7530" w:rsidP="00A7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незаи-тово</w:t>
            </w:r>
          </w:p>
        </w:tc>
        <w:tc>
          <w:tcPr>
            <w:tcW w:w="1134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</w:p>
        </w:tc>
      </w:tr>
      <w:tr w:rsidR="00CC7530" w:rsidRPr="00B200A6">
        <w:tc>
          <w:tcPr>
            <w:tcW w:w="709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C7530" w:rsidRPr="009D254E" w:rsidRDefault="00CC7530" w:rsidP="009D254E">
            <w:pPr>
              <w:jc w:val="both"/>
              <w:rPr>
                <w:color w:val="000000"/>
                <w:sz w:val="28"/>
                <w:szCs w:val="28"/>
              </w:rPr>
            </w:pPr>
            <w:r w:rsidRPr="009D254E">
              <w:rPr>
                <w:color w:val="000000"/>
                <w:sz w:val="28"/>
                <w:szCs w:val="28"/>
              </w:rPr>
              <w:t xml:space="preserve">Внесение изменений в Правила землепользования и застройки сельского поселения </w:t>
            </w:r>
            <w:r>
              <w:rPr>
                <w:color w:val="000000"/>
                <w:sz w:val="28"/>
                <w:szCs w:val="28"/>
              </w:rPr>
              <w:t>Нижнезаитовский</w:t>
            </w:r>
            <w:r w:rsidRPr="009D254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</w:t>
            </w: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CC7530" w:rsidRDefault="00CC7530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с.Ниж-</w:t>
            </w:r>
          </w:p>
          <w:p w:rsidR="00CC7530" w:rsidRPr="00B200A6" w:rsidRDefault="00CC7530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незаи-тово</w:t>
            </w:r>
          </w:p>
        </w:tc>
        <w:tc>
          <w:tcPr>
            <w:tcW w:w="1134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143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CC7530" w:rsidRPr="00B200A6" w:rsidRDefault="00CC7530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</w:tr>
    </w:tbl>
    <w:p w:rsidR="00CC7530" w:rsidRDefault="00CC7530" w:rsidP="00671B7E">
      <w:pPr>
        <w:pStyle w:val="ConsPlusNormal"/>
        <w:ind w:firstLine="540"/>
        <w:jc w:val="both"/>
      </w:pPr>
    </w:p>
    <w:p w:rsidR="00CC7530" w:rsidRDefault="00CC7530" w:rsidP="00671B7E">
      <w:pPr>
        <w:pStyle w:val="ConsPlusNormal"/>
      </w:pPr>
    </w:p>
    <w:p w:rsidR="00CC7530" w:rsidRDefault="00CC7530"/>
    <w:sectPr w:rsidR="00CC7530" w:rsidSect="00671B7E">
      <w:pgSz w:w="11906" w:h="16838"/>
      <w:pgMar w:top="540" w:right="566" w:bottom="71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E"/>
    <w:rsid w:val="00003772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0D95"/>
    <w:rsid w:val="00032186"/>
    <w:rsid w:val="00033432"/>
    <w:rsid w:val="0003675D"/>
    <w:rsid w:val="000410FB"/>
    <w:rsid w:val="000418A8"/>
    <w:rsid w:val="00041F9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66004"/>
    <w:rsid w:val="000675B6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23A1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2ED6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69E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6C27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124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27C2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C651D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3F60D8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365E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C6433"/>
    <w:rsid w:val="004D0FEF"/>
    <w:rsid w:val="004D165D"/>
    <w:rsid w:val="004D281A"/>
    <w:rsid w:val="004D3404"/>
    <w:rsid w:val="004D5B9A"/>
    <w:rsid w:val="004D727A"/>
    <w:rsid w:val="004E0C7F"/>
    <w:rsid w:val="004E7ED4"/>
    <w:rsid w:val="004F395E"/>
    <w:rsid w:val="004F68C0"/>
    <w:rsid w:val="004F6A4F"/>
    <w:rsid w:val="004F7D19"/>
    <w:rsid w:val="005020D0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286F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4F4C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86967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B747B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6F677B"/>
    <w:rsid w:val="00701F76"/>
    <w:rsid w:val="00702146"/>
    <w:rsid w:val="00704B4F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35AE9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C35"/>
    <w:rsid w:val="007A430B"/>
    <w:rsid w:val="007A6F68"/>
    <w:rsid w:val="007A735D"/>
    <w:rsid w:val="007B03B9"/>
    <w:rsid w:val="007B0861"/>
    <w:rsid w:val="007B0FA3"/>
    <w:rsid w:val="007B1D86"/>
    <w:rsid w:val="007B3D28"/>
    <w:rsid w:val="007B5873"/>
    <w:rsid w:val="007C141D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3EF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3957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2F24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5486"/>
    <w:rsid w:val="00A2754B"/>
    <w:rsid w:val="00A27F09"/>
    <w:rsid w:val="00A27FF4"/>
    <w:rsid w:val="00A30D1E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37BB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9D7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0FE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5138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28DD"/>
    <w:rsid w:val="00C84D98"/>
    <w:rsid w:val="00C865FD"/>
    <w:rsid w:val="00C87529"/>
    <w:rsid w:val="00C93915"/>
    <w:rsid w:val="00C96B31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C7530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000B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3D79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9C3"/>
    <w:rsid w:val="00DA4A42"/>
    <w:rsid w:val="00DA581B"/>
    <w:rsid w:val="00DB1466"/>
    <w:rsid w:val="00DB1BEB"/>
    <w:rsid w:val="00DB23D7"/>
    <w:rsid w:val="00DB4542"/>
    <w:rsid w:val="00DB4CB1"/>
    <w:rsid w:val="00DC1011"/>
    <w:rsid w:val="00DD16D6"/>
    <w:rsid w:val="00DD7943"/>
    <w:rsid w:val="00DD7954"/>
    <w:rsid w:val="00DE3649"/>
    <w:rsid w:val="00DE41C7"/>
    <w:rsid w:val="00DE4C20"/>
    <w:rsid w:val="00DE6A7D"/>
    <w:rsid w:val="00DF0A60"/>
    <w:rsid w:val="00DF1E5F"/>
    <w:rsid w:val="00DF3407"/>
    <w:rsid w:val="00DF4972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12A7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2A8F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3450A"/>
    <w:rsid w:val="00F41B41"/>
    <w:rsid w:val="00F4296F"/>
    <w:rsid w:val="00F43515"/>
    <w:rsid w:val="00F45BBE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7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7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1365"/>
    <w:rPr>
      <w:rFonts w:cs="Times New Roman"/>
      <w:b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1365"/>
    <w:rPr>
      <w:rFonts w:ascii="Cambria" w:hAnsi="Cambria" w:cs="Times New Roman"/>
      <w:i/>
      <w:iCs/>
      <w:color w:val="404040"/>
    </w:rPr>
  </w:style>
  <w:style w:type="paragraph" w:customStyle="1" w:styleId="ConsPlusNormal">
    <w:name w:val="ConsPlusNormal"/>
    <w:uiPriority w:val="99"/>
    <w:rsid w:val="00671B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Normal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F136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CF1365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7A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F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1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17CF7"/>
    <w:pPr>
      <w:shd w:val="clear" w:color="auto" w:fill="FFFFFF"/>
      <w:spacing w:after="240" w:line="240" w:lineRule="atLeast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7CF7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">
    <w:name w:val="Прижатый влево"/>
    <w:basedOn w:val="Normal"/>
    <w:next w:val="Normal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0">
    <w:name w:val="Знак Знак"/>
    <w:basedOn w:val="DefaultParagraphFont"/>
    <w:uiPriority w:val="99"/>
    <w:locked/>
    <w:rsid w:val="004C643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C64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5E9A76FE13A8C689E6BED07F864D362F1C9FF319A92F9jCF" TargetMode="External"/><Relationship Id="rId13" Type="http://schemas.openxmlformats.org/officeDocument/2006/relationships/hyperlink" Target="consultantplus://offline/ref=626A451AC5B1E844CBE790C18DF1D2CC9C5F45E9A76FE13A8C689E6BEDF0j7F" TargetMode="External"/><Relationship Id="rId18" Type="http://schemas.openxmlformats.org/officeDocument/2006/relationships/hyperlink" Target="consultantplus://offline/ref=626A451AC5B1E844CBE790C18DF1D2CC9C5F45E9A76FE13A8C689E6BED07F864D362F1C9FF319B93F9j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6A451AC5B1E844CBE790C18DF1D2CC9C5F42ECA663E13A8C689E6BEDF0j7F" TargetMode="External"/><Relationship Id="rId12" Type="http://schemas.openxmlformats.org/officeDocument/2006/relationships/hyperlink" Target="consultantplus://offline/ref=626A451AC5B1E844CBE790C18DF1D2CC9C5F45E9A76FE13A8C689E6BED07F864D362F1C9FF319B97F9jFF" TargetMode="External"/><Relationship Id="rId17" Type="http://schemas.openxmlformats.org/officeDocument/2006/relationships/hyperlink" Target="consultantplus://offline/ref=626A451AC5B1E844CBE790C18DF1D2CC9C5F45E9A76FE13A8C689E6BED07F864D362F1C9FF319B94F9j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DF9j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zait.sharan-sovet.ru" TargetMode="External"/><Relationship Id="rId11" Type="http://schemas.openxmlformats.org/officeDocument/2006/relationships/hyperlink" Target="consultantplus://offline/ref=626A451AC5B1E844CBE790C29F9D8DC59D5118E1AD62EA6AD837C536BA0EF233F9j4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5F9jBF" TargetMode="External"/><Relationship Id="rId10" Type="http://schemas.openxmlformats.org/officeDocument/2006/relationships/hyperlink" Target="consultantplus://offline/ref=626A451AC5B1E844CBE790C18DF1D2CC9C5F45E9A76FE13A8C689E6BEDF0j7F" TargetMode="External"/><Relationship Id="rId19" Type="http://schemas.openxmlformats.org/officeDocument/2006/relationships/hyperlink" Target="consultantplus://offline/ref=626A451AC5B1E844CBE790C18DF1D2CC9C5F42ECA663E13A8C689E6BEDF0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2ECA663E13A8C689E6BEDF0j7F" TargetMode="External"/><Relationship Id="rId14" Type="http://schemas.openxmlformats.org/officeDocument/2006/relationships/hyperlink" Target="consultantplus://offline/ref=626A451AC5B1E844CBE790C18DF1D2CC9C5F45E9A76FE13A8C689E6BED07F864D362F1C9FF319C90F9j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10</Pages>
  <Words>4239</Words>
  <Characters>24166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Бухгалтерия</cp:lastModifiedBy>
  <cp:revision>15</cp:revision>
  <cp:lastPrinted>2016-12-02T03:28:00Z</cp:lastPrinted>
  <dcterms:created xsi:type="dcterms:W3CDTF">2016-12-02T07:55:00Z</dcterms:created>
  <dcterms:modified xsi:type="dcterms:W3CDTF">2016-12-06T11:37:00Z</dcterms:modified>
</cp:coreProperties>
</file>